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D4183">
      <w:pPr>
        <w:pStyle w:val="1tekst"/>
      </w:pPr>
      <w:bookmarkStart w:id="0" w:name="_GoBack"/>
      <w:bookmarkEnd w:id="0"/>
      <w:r>
        <w:t>На основу члана 345. став 7. Закона о енергетици („Службени гласник РС”, бр. 145/14, 95/18 – др. закон и 40/21) и члана 42. став 1. Закона о Влади („Службени гласник РС”, бр. 55/05, 71/05 – исправка, 101/07, 65/08, 16/11, 68/12 – УС, 72/12, 7/14 – УС, 44/1</w:t>
      </w:r>
      <w:r>
        <w:t>4 и 30/18 – др. закон),</w:t>
      </w:r>
    </w:p>
    <w:p w:rsidR="00000000" w:rsidRDefault="002D4183">
      <w:pPr>
        <w:pStyle w:val="1tekst"/>
      </w:pPr>
      <w:r>
        <w:t>Влада доноси</w:t>
      </w:r>
    </w:p>
    <w:p w:rsidR="00000000" w:rsidRDefault="002D4183">
      <w:pPr>
        <w:pStyle w:val="2zakon"/>
      </w:pPr>
      <w:r>
        <w:t>Уредбу о оперативним резервама деривата нафте, угља и других енергената</w:t>
      </w:r>
    </w:p>
    <w:p w:rsidR="00000000" w:rsidRDefault="002D4183">
      <w:pPr>
        <w:pStyle w:val="3mesto"/>
      </w:pPr>
      <w:r>
        <w:t>Уредба је објављена у "Службеном гласнику РС", бр. 79/2021 од 6.8.2021. године, ступила је на снагу 14.8.2021, а примењује се од 1.1.2022.</w:t>
      </w:r>
    </w:p>
    <w:p w:rsidR="00000000" w:rsidRDefault="002D4183">
      <w:pPr>
        <w:pStyle w:val="4clan"/>
      </w:pPr>
      <w:r>
        <w:t>Члан 1.</w:t>
      </w:r>
    </w:p>
    <w:p w:rsidR="00000000" w:rsidRDefault="002D4183">
      <w:pPr>
        <w:pStyle w:val="1tekst"/>
      </w:pPr>
      <w:r>
        <w:t>Овом уредбом ближе се прописују услови и начин постепеног обезбеђења, коришћења и обнављања оперативних резерви деривата нафте, угља и других енергената.</w:t>
      </w:r>
    </w:p>
    <w:p w:rsidR="00000000" w:rsidRDefault="002D4183">
      <w:pPr>
        <w:pStyle w:val="4clan"/>
      </w:pPr>
      <w:r>
        <w:t>Члан 2.</w:t>
      </w:r>
    </w:p>
    <w:p w:rsidR="00000000" w:rsidRDefault="002D4183">
      <w:pPr>
        <w:pStyle w:val="1tekst"/>
      </w:pPr>
      <w:r>
        <w:t>Оперативне резерве формирају се постепено до 1. јануара 2028. године, a oд 1. јануара 2028. го</w:t>
      </w:r>
      <w:r>
        <w:t>дине, оперативне резерве одржавају се у количини и структури која је прописана законом којим се уређује област енергетике.</w:t>
      </w:r>
    </w:p>
    <w:p w:rsidR="00000000" w:rsidRDefault="002D4183">
      <w:pPr>
        <w:pStyle w:val="1tekst"/>
      </w:pPr>
      <w:r>
        <w:t>Енергетски субјекти који формирају и одржавају оперативне резерве су:</w:t>
      </w:r>
    </w:p>
    <w:p w:rsidR="00000000" w:rsidRDefault="002D4183">
      <w:pPr>
        <w:pStyle w:val="1tekst"/>
      </w:pPr>
      <w:r>
        <w:t>1) енергетски субјекти који обављају делатност производње дерив</w:t>
      </w:r>
      <w:r>
        <w:t>ата нафте;</w:t>
      </w:r>
    </w:p>
    <w:p w:rsidR="00000000" w:rsidRDefault="002D4183">
      <w:pPr>
        <w:pStyle w:val="1tekst"/>
      </w:pPr>
      <w:r>
        <w:t>2) енергетски субјекти који обављају делатност трговине нафтом, дериватима нафте, биогоривом, биотечностима, компримованим природним гасом, утечњеним природним гасом и водоником, осим оних који обављају само трговину компримованим природним гасо</w:t>
      </w:r>
      <w:r>
        <w:t>м и/или утечњеним природним гасом и/или водоником, а који увозе деривате нафте;</w:t>
      </w:r>
    </w:p>
    <w:p w:rsidR="00000000" w:rsidRDefault="002D4183">
      <w:pPr>
        <w:pStyle w:val="1tekst"/>
      </w:pPr>
      <w:r>
        <w:t>3) енергетски субјекти који обављају делатност производње електричне енергије и/или комбиноване производње електричне и/или топлотне енергије;</w:t>
      </w:r>
    </w:p>
    <w:p w:rsidR="00000000" w:rsidRDefault="002D4183">
      <w:pPr>
        <w:pStyle w:val="1tekst"/>
      </w:pPr>
      <w:r>
        <w:t>4) енергетски субјекти који обављ</w:t>
      </w:r>
      <w:r>
        <w:t>ају делатност производње топлотне енергије из деривата нафте и/или угља за снабдевање крајњих купаца топлотном енергијом;</w:t>
      </w:r>
    </w:p>
    <w:p w:rsidR="00000000" w:rsidRDefault="002D4183">
      <w:pPr>
        <w:pStyle w:val="1tekst"/>
      </w:pPr>
      <w:r>
        <w:t>5) енергетски субјекти који обављају делатност производње топлотне енергије из природног гаса за снабдевање крајњих купаца топлотном е</w:t>
      </w:r>
      <w:r>
        <w:t>нергијом.</w:t>
      </w:r>
    </w:p>
    <w:p w:rsidR="00000000" w:rsidRDefault="002D4183">
      <w:pPr>
        <w:pStyle w:val="4clan"/>
      </w:pPr>
      <w:r>
        <w:t>Члан 3.</w:t>
      </w:r>
    </w:p>
    <w:p w:rsidR="00000000" w:rsidRDefault="002D4183">
      <w:pPr>
        <w:pStyle w:val="1tekst"/>
      </w:pPr>
      <w:r>
        <w:t>Енергетски субјекти из члана 2. став 2. тач. 1) и 2) ове уредбе формирају оперативне резерве деривата нафте, и то: моторних бензина и гасних уља која се користе као горива за моторе са унутрашњим сагоревањем и млазног горива, следећом дин</w:t>
      </w:r>
      <w:r>
        <w:t>амиком израженом у данима просечног стављања на тржиште тих деривата нафте у Републици Србији:</w:t>
      </w:r>
    </w:p>
    <w:p w:rsidR="00000000" w:rsidRDefault="002D4183">
      <w:pPr>
        <w:pStyle w:val="1tekst"/>
      </w:pPr>
      <w:r>
        <w:t>1) за моторне бензине и гасна уља за моторе са унутрашњим сагоревањем: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98"/>
        <w:gridCol w:w="1460"/>
      </w:tblGrid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(1) од 1. јула 2022. до 30. јуна 2023.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(2) од 1. јула 2023. до 30. јуна 2024.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(3) од 1. јула 2024. до 30. јуна 2025.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(4) од 1. јула 2025. до 30. јуна 2026.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(5) од 1. јула 2026. до 30. јуна 2027.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(6) од 1. јула 2027. до 30. јуна 2028.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 дана;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2) за млазна горива: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(1) од 1. јула 2022. до 30. јуна 2023.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(2) од 1. јула 2023. до 30. јуна 2024.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(3) од 1. јула 2024. до 30. јуна 2025.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(4) од 1. јула 2025. до 30. јуна 2026.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(5) од 1. јула 2026. до 30. јуна 2027.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13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(6) од 1. јула 2027. до 30. јуна 2028.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 дана.</w:t>
            </w:r>
          </w:p>
        </w:tc>
      </w:tr>
    </w:tbl>
    <w:p w:rsidR="00000000" w:rsidRDefault="002D4183">
      <w:pPr>
        <w:pStyle w:val="1tekst"/>
      </w:pPr>
      <w:r>
        <w:t xml:space="preserve">Енергетски субјекти из члана 2. став 2. тач. 3)–5) ове уредбе формирају оперативне резерве деривата нафте и/или угља и/или других енергената следећом динамиком израженом у данима просечне производње електричне и/или топлотне енергије у јануару, фебруару и </w:t>
      </w:r>
      <w:r>
        <w:t>марту за претходних пет година: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95"/>
        <w:gridCol w:w="1263"/>
      </w:tblGrid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1) од 1. јула 2022. до 31. децембра 2024.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2) од 1. јануара 2025. до 31. децембра 2027.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3) од 1. јануара 2028. године надаље: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 дана.</w:t>
            </w:r>
          </w:p>
        </w:tc>
      </w:tr>
    </w:tbl>
    <w:p w:rsidR="00000000" w:rsidRDefault="002D4183">
      <w:pPr>
        <w:pStyle w:val="1tekst"/>
      </w:pPr>
      <w:r>
        <w:t>Енергетски субјекти из члана 2. став 2. тачка 5) ове уредбе, који су дужни да обезбеде могућност супституције природног гаса другим енергентима, поред деривата нафте и угља могу обезбедити и биомасу, сагласно закону којим се уређује област енергетике.</w:t>
      </w:r>
    </w:p>
    <w:p w:rsidR="00000000" w:rsidRDefault="002D4183">
      <w:pPr>
        <w:pStyle w:val="1tekst"/>
      </w:pPr>
      <w:r>
        <w:t>Изуз</w:t>
      </w:r>
      <w:r>
        <w:t>етно од става 3. овог члана, енергетски субјекти који у моменту ступања на снагу ове уредбе немају техничко-технолошке могућности коришћења других енергената за супституцију природног гаса, оперативне резерве формирају следећом динамиком израженом у данима</w:t>
      </w:r>
      <w:r>
        <w:t xml:space="preserve"> просечне производње топлотне енергије у јануару, фебруару и марту за претходних пет година: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95"/>
        <w:gridCol w:w="1263"/>
      </w:tblGrid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1) од 1. јануара 2025. до 31. децембра 2027. године: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 дана,</w:t>
            </w:r>
          </w:p>
        </w:tc>
      </w:tr>
      <w:tr w:rsidR="00000000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2) од 1. јануара 2028. године надаље: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2D4183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 дана.</w:t>
            </w:r>
          </w:p>
        </w:tc>
      </w:tr>
    </w:tbl>
    <w:p w:rsidR="00000000" w:rsidRDefault="002D4183">
      <w:pPr>
        <w:pStyle w:val="1tekst"/>
      </w:pPr>
      <w:r>
        <w:t>Одговорно лице у енергетском субјекту из става 5. овог члана доставља министарству надлежном за послове енергетике изјаву да не постоје техничко-технолошке могућности коришћења других енергената за супституцију природног гаса у моменту ступања на снагу ове</w:t>
      </w:r>
      <w:r>
        <w:t xml:space="preserve"> уредбе, изјављену под кривичном и материјалном одговорношћу.</w:t>
      </w:r>
    </w:p>
    <w:p w:rsidR="00000000" w:rsidRDefault="002D4183">
      <w:pPr>
        <w:pStyle w:val="4clan"/>
      </w:pPr>
      <w:r>
        <w:t>Члан 4.</w:t>
      </w:r>
    </w:p>
    <w:p w:rsidR="00000000" w:rsidRDefault="002D4183">
      <w:pPr>
        <w:pStyle w:val="1tekst"/>
      </w:pPr>
      <w:r>
        <w:t>Количина оперативних резерви деривата нафте из члана 3. став 1. ове уредбе утврђује се на основу просечне количине тих деривата нафте која је стављена на тржиште Републике Србије из сопс</w:t>
      </w:r>
      <w:r>
        <w:t>твене производње и увоза у претходној години, према структури и количини деривата нафте који су стављени на тржиште.</w:t>
      </w:r>
    </w:p>
    <w:p w:rsidR="00000000" w:rsidRDefault="002D4183">
      <w:pPr>
        <w:pStyle w:val="1tekst"/>
      </w:pPr>
      <w:r>
        <w:t>Изузетно од става 1. овог члана, количина оперативних резерви за 2022/2023. годину рачуна се на основу просечне количине деривата нафте кој</w:t>
      </w:r>
      <w:r>
        <w:t>а је стављена на тржиште Републике Србије из производње и увоза претходне три године (2019, 2020. и 2021. година).</w:t>
      </w:r>
    </w:p>
    <w:p w:rsidR="00000000" w:rsidRDefault="002D4183">
      <w:pPr>
        <w:pStyle w:val="1tekst"/>
      </w:pPr>
      <w:r>
        <w:t xml:space="preserve">Количина оперативних резерви деривата нафте и/или угља и/или других енергената из члана 3. став 2. ове уредбе утврђује се на основу просечне </w:t>
      </w:r>
      <w:r>
        <w:t>потрошње енергената за производњу електричне и/или топлотне енергије у јануару, фебруару и марту за претходних пет година.</w:t>
      </w:r>
    </w:p>
    <w:p w:rsidR="00000000" w:rsidRDefault="002D4183">
      <w:pPr>
        <w:pStyle w:val="1tekst"/>
      </w:pPr>
      <w:r>
        <w:t>Просечна производња енергетских субјеката из члана 2. став 2. тачка 3) ове уредбе односи се на просечну производњу при раду постројењ</w:t>
      </w:r>
      <w:r>
        <w:t>а на техничком минимуму.</w:t>
      </w:r>
    </w:p>
    <w:p w:rsidR="00000000" w:rsidRDefault="002D4183">
      <w:pPr>
        <w:pStyle w:val="4clan"/>
      </w:pPr>
      <w:r>
        <w:t>Члан 5.</w:t>
      </w:r>
    </w:p>
    <w:p w:rsidR="00000000" w:rsidRDefault="002D4183">
      <w:pPr>
        <w:pStyle w:val="1tekst"/>
      </w:pPr>
      <w:r>
        <w:t>У оперативне резерве из члана 3. ове уредбе не рачунају се количине:</w:t>
      </w:r>
    </w:p>
    <w:p w:rsidR="00000000" w:rsidRDefault="002D4183">
      <w:pPr>
        <w:pStyle w:val="1tekst"/>
      </w:pPr>
      <w:r>
        <w:t>1) деривата нафте у резервоарима возила и другим саобраћајним средствима, а које служе искључиво за погон тих возила, односно саобраћајних средстава,</w:t>
      </w:r>
    </w:p>
    <w:p w:rsidR="00000000" w:rsidRDefault="002D4183">
      <w:pPr>
        <w:pStyle w:val="1tekst"/>
      </w:pPr>
      <w:r>
        <w:t>2) деривата нафте које се налазе у складиштима бродова, цевоводима, железничким цистернама, аутоцистернама, резервоарима бензинских станица и на танкерима који плове,</w:t>
      </w:r>
    </w:p>
    <w:p w:rsidR="00000000" w:rsidRDefault="002D4183">
      <w:pPr>
        <w:pStyle w:val="1tekst"/>
      </w:pPr>
      <w:r>
        <w:t xml:space="preserve">3) деривата нафте, угља или других енергената који су ускладиштени код крајњих потрошача </w:t>
      </w:r>
      <w:r>
        <w:t>који нису дужни да формирају и одржавају оперативне резерве из члана 3. ове уредбе.</w:t>
      </w:r>
    </w:p>
    <w:p w:rsidR="00000000" w:rsidRDefault="002D4183">
      <w:pPr>
        <w:pStyle w:val="4clan"/>
      </w:pPr>
      <w:r>
        <w:t>Члан 6.</w:t>
      </w:r>
    </w:p>
    <w:p w:rsidR="00000000" w:rsidRDefault="002D4183">
      <w:pPr>
        <w:pStyle w:val="1tekst"/>
      </w:pPr>
      <w:r>
        <w:t>Оперативне резерве чувају се на територији Републике Србије.</w:t>
      </w:r>
    </w:p>
    <w:p w:rsidR="00000000" w:rsidRDefault="002D4183">
      <w:pPr>
        <w:pStyle w:val="1tekst"/>
      </w:pPr>
      <w:r>
        <w:t>Деривати нафте у којима се формирају и одржавају оперативне резерве из члана 3. ове уредбе у сваком мом</w:t>
      </w:r>
      <w:r>
        <w:t>енту морају испуњавати захтеве у погледу квалитета у складу са прописима којима се уређују технички и други захтеви које морају да испуне течна горива нафтног порекла.</w:t>
      </w:r>
    </w:p>
    <w:p w:rsidR="00000000" w:rsidRDefault="002D4183">
      <w:pPr>
        <w:pStyle w:val="4clan"/>
      </w:pPr>
      <w:r>
        <w:t>Члан 7.</w:t>
      </w:r>
    </w:p>
    <w:p w:rsidR="00000000" w:rsidRDefault="002D4183">
      <w:pPr>
        <w:pStyle w:val="1tekst"/>
      </w:pPr>
      <w:r>
        <w:t>Оперативне резерве деривата нафте из члана 3. став 1. ове уредбе могу се формира</w:t>
      </w:r>
      <w:r>
        <w:t>ти и одржавати у моторним бензинима, млазним горивима и гасним уљима за моторе са унутрашњим сагоревањем и опцијским уговорима за наведене деривате уколико је дериват нафте који је предмет опцијског уговора ускладиштен на територији Републике Србије.</w:t>
      </w:r>
    </w:p>
    <w:p w:rsidR="00000000" w:rsidRDefault="002D4183">
      <w:pPr>
        <w:pStyle w:val="1tekst"/>
      </w:pPr>
      <w:r>
        <w:t>Изузе</w:t>
      </w:r>
      <w:r>
        <w:t>тно од става 1. овог члана, у периодима припреме и трајања ремонта рафинеријских капацитета, као и 15 дана након завршетка ремонта, оперативне резерве из става 1. овог члана могу се одржавати у сировој нафти, најдуже три месеца годишње.</w:t>
      </w:r>
    </w:p>
    <w:p w:rsidR="00000000" w:rsidRDefault="002D4183">
      <w:pPr>
        <w:pStyle w:val="1tekst"/>
      </w:pPr>
      <w:r>
        <w:t>При чувању оператив</w:t>
      </w:r>
      <w:r>
        <w:t>них резерви деривата нафте из става 1. овог члана, оперативне резерве безоловних моторних бензина су једнаке без обзира на октански број, оперативне резерве гасног уља 0,1 заменски се могу чувати у гасном уљу типа EVRO DIZEL (еквивалент замене износи 1,00)</w:t>
      </w:r>
      <w:r>
        <w:t>.</w:t>
      </w:r>
    </w:p>
    <w:p w:rsidR="00000000" w:rsidRDefault="002D4183">
      <w:pPr>
        <w:pStyle w:val="1tekst"/>
      </w:pPr>
      <w:r>
        <w:t>У случају из става 2. овог члана, еквивалент сирове нафте за утврђену обавезу формирања и одржавања оперативних резерви деривата нафте износи:</w:t>
      </w:r>
    </w:p>
    <w:p w:rsidR="00000000" w:rsidRDefault="002D4183">
      <w:pPr>
        <w:pStyle w:val="1tekst"/>
      </w:pPr>
      <w:r>
        <w:t>1) за безоловне моторне бензине –1,30,</w:t>
      </w:r>
    </w:p>
    <w:p w:rsidR="00000000" w:rsidRDefault="002D4183">
      <w:pPr>
        <w:pStyle w:val="1tekst"/>
      </w:pPr>
      <w:r>
        <w:t>2) за млазна горива –1,40,</w:t>
      </w:r>
    </w:p>
    <w:p w:rsidR="00000000" w:rsidRDefault="002D4183">
      <w:pPr>
        <w:pStyle w:val="1tekst"/>
      </w:pPr>
      <w:r>
        <w:t>3) за гасна уља –1,25.</w:t>
      </w:r>
    </w:p>
    <w:p w:rsidR="00000000" w:rsidRDefault="002D4183">
      <w:pPr>
        <w:pStyle w:val="4clan"/>
      </w:pPr>
      <w:r>
        <w:t>Члан 8.</w:t>
      </w:r>
    </w:p>
    <w:p w:rsidR="00000000" w:rsidRDefault="002D4183">
      <w:pPr>
        <w:pStyle w:val="1tekst"/>
      </w:pPr>
      <w:r>
        <w:t>Оперативне рез</w:t>
      </w:r>
      <w:r>
        <w:t>ерве деривата нафте из члана 3. став 2. ове уредбе могу се формирати и одржавати у сировој нафти, дериватима нафте који се користе као енергетска горива и опцијским уговорима уколико је дериват нафте који је предмет опцијског уговора ускладиштен на територ</w:t>
      </w:r>
      <w:r>
        <w:t>ији Републике Србије. Најмање једна трећина обавезе чувања ових резерви треба да буде у готовим производима. Једна трећина обавезе чувања резерви у готовим производима у смислу ове уредбе односи се на сваку поједину врсту деривата нафте за коју се оператив</w:t>
      </w:r>
      <w:r>
        <w:t>не резерве формирају и одржавају.</w:t>
      </w:r>
    </w:p>
    <w:p w:rsidR="00000000" w:rsidRDefault="002D4183">
      <w:pPr>
        <w:pStyle w:val="1tekst"/>
      </w:pPr>
      <w:r>
        <w:t>При чувању оперативних резерви деривата нафте из става 1. овог члана у готовим производима, све оперативне резерве уља за ложење су у смислу ове уредбе једнаке и заменски се могу чувати у гасном уљу екстра лаком (еквивален</w:t>
      </w:r>
      <w:r>
        <w:t>т замене износи 1,00).</w:t>
      </w:r>
    </w:p>
    <w:p w:rsidR="00000000" w:rsidRDefault="002D4183">
      <w:pPr>
        <w:pStyle w:val="1tekst"/>
      </w:pPr>
      <w:r>
        <w:t>Уколико се оперативне резерве деривата нафте из члана 3. став 2. ове уредбе формирају и одржавају у сировој нафти, еквивалент сирове нафте за утврђену обавезу формирања и одржавања оперативних резерви деривата нафте износи 1,25.</w:t>
      </w:r>
    </w:p>
    <w:p w:rsidR="00000000" w:rsidRDefault="002D4183">
      <w:pPr>
        <w:pStyle w:val="4clan"/>
      </w:pPr>
      <w:r>
        <w:t>Члан</w:t>
      </w:r>
      <w:r>
        <w:t xml:space="preserve"> 9.</w:t>
      </w:r>
    </w:p>
    <w:p w:rsidR="00000000" w:rsidRDefault="002D4183">
      <w:pPr>
        <w:pStyle w:val="1tekst"/>
      </w:pPr>
      <w:r>
        <w:t>Издавалац опцијског уговора из чл. 7. и 8. ове уредбе може бити енергетски субјект који обавља енергетску делатност трговине нафтом, дериватима нафте, биогоривом, биотечностима, компримованим природним гасом, утечњеним природним гасом и водоником, енер</w:t>
      </w:r>
      <w:r>
        <w:t>гетски субјект који обавља делатност производње електричне енергије, енергетски субјект који обавља делатност производње топлотне енергије и енергетски субјект који обавља енергетску делатност комбиноване производње електричне и топлотне енергије.</w:t>
      </w:r>
    </w:p>
    <w:p w:rsidR="00000000" w:rsidRDefault="002D4183">
      <w:pPr>
        <w:pStyle w:val="1tekst"/>
      </w:pPr>
      <w:r>
        <w:t>Енергетс</w:t>
      </w:r>
      <w:r>
        <w:t xml:space="preserve">ки субјект из члана 2. ове уредбе (у даљем тексту: обвезник формирања и чувања оперативних резерви), може да купи деривате нафте, угаљ и други енергент који су предмет опцијског уговора искључиво након доношења одобрења из члана 14. ове уредбе о коришћењу </w:t>
      </w:r>
      <w:r>
        <w:t>оперативних резерви. Обвезник формирања и чувања оперативних резерви купује деривате нафте ради стављањa на тржиште, а у овом случају продаја деривата нафте од стране енергетског субјекта из става 1. овог члана не сматра се трговином у смислу прописа којим</w:t>
      </w:r>
      <w:r>
        <w:t>а се уређује област енергетике.</w:t>
      </w:r>
    </w:p>
    <w:p w:rsidR="00000000" w:rsidRDefault="002D4183">
      <w:pPr>
        <w:pStyle w:val="1tekst"/>
      </w:pPr>
      <w:r>
        <w:t>Оперативне резерве деривата нафте из члана 3. став 2. ове уредбе које су предмет уговора из става 1. овог члана могу да се чувају у готовом производу и сировој нафти уз примену еквивалента из члана 8. ст. 2. и 3. ове уредбе.</w:t>
      </w:r>
    </w:p>
    <w:p w:rsidR="00000000" w:rsidRDefault="002D4183">
      <w:pPr>
        <w:pStyle w:val="1tekst"/>
      </w:pPr>
      <w:r>
        <w:t>Уколико се оперативне резерве из члана 3. став 2. ове уредбе чувају у сировој нафти, у случају доношења одобрења о коришћењу оперативних резерви из члана 14. ове уредбе, издавалац опцијског уговора дужан је да енергетском субјекту прода и испоручи номинал</w:t>
      </w:r>
      <w:r>
        <w:t>ну количину деривата нафте који су предмет уговора, у року не дужем од пет дана.</w:t>
      </w:r>
    </w:p>
    <w:p w:rsidR="00000000" w:rsidRDefault="002D4183">
      <w:pPr>
        <w:pStyle w:val="1tekst"/>
      </w:pPr>
      <w:r>
        <w:t>Издавалац опцијског уговора из става 1. овог члана не може количину деривата нафте или сирове нафте који су предмет закљученог опцијског уговора истовремено да рачуна као сопс</w:t>
      </w:r>
      <w:r>
        <w:t>твене оперативне резерве деривата нафте, нити да за количину деривата нафте или сирове нафте који су предмет закљученог опцијског уговора закључује опцијске уговоре са другим обвезницима формирања и чувања оперативних резерви из члана 2. ове уредбе.</w:t>
      </w:r>
    </w:p>
    <w:p w:rsidR="00000000" w:rsidRDefault="002D4183">
      <w:pPr>
        <w:pStyle w:val="1tekst"/>
      </w:pPr>
      <w:r>
        <w:t>Обвезн</w:t>
      </w:r>
      <w:r>
        <w:t>ик формирања и чувања оперативних резерви доставља копију уговора из става 1. овог члана министарству надлежном за послове енергетике у року од седам дана од склапања уговора.</w:t>
      </w:r>
    </w:p>
    <w:p w:rsidR="00000000" w:rsidRDefault="002D4183">
      <w:pPr>
        <w:pStyle w:val="4clan"/>
      </w:pPr>
      <w:r>
        <w:t>Члан 10.</w:t>
      </w:r>
    </w:p>
    <w:p w:rsidR="00000000" w:rsidRDefault="002D4183">
      <w:pPr>
        <w:pStyle w:val="1tekst"/>
      </w:pPr>
      <w:r>
        <w:t>Обвезници формирања и чувања оперативних резерви дужни су да до 30. апр</w:t>
      </w:r>
      <w:r>
        <w:t>илa текуће године министарству надлежном за послове енергетике доставе План формирања и одржавања оперативних резерви за наредну годину, усаглашен са чланом 3. ове уредбе (у даљем тексту: План), којим ће бити утврђена количина и структура деривата нафте и/</w:t>
      </w:r>
      <w:r>
        <w:t>или угља и/или других енергената који се чувају као оперативне резерве.</w:t>
      </w:r>
    </w:p>
    <w:p w:rsidR="00000000" w:rsidRDefault="002D4183">
      <w:pPr>
        <w:pStyle w:val="1tekst"/>
      </w:pPr>
      <w:r>
        <w:t xml:space="preserve">Количина и структура деривата нафте за обвезнике формирања и чувања оперативних резерви мора бити усаглашена са подацима које ови енергетски субјекти достављају сагласно пропису којим </w:t>
      </w:r>
      <w:r>
        <w:t>је уређена методологија прикупљања и обраде података и обрачун просечног дневног нето увоза, просечне дневне потрошње и количина обавезних резерви нафте и деривата нафте.</w:t>
      </w:r>
    </w:p>
    <w:p w:rsidR="00000000" w:rsidRDefault="002D4183">
      <w:pPr>
        <w:pStyle w:val="1tekst"/>
      </w:pPr>
      <w:r>
        <w:t xml:space="preserve">План садржи следеће податке, у зависности од енергетске делатности коју </w:t>
      </w:r>
      <w:r>
        <w:t>енергетски субјекат обавља:</w:t>
      </w:r>
    </w:p>
    <w:p w:rsidR="00000000" w:rsidRDefault="002D4183">
      <w:pPr>
        <w:pStyle w:val="1tekst"/>
      </w:pPr>
      <w:r>
        <w:t>1) извештај о количини деривата нафте који су стављени на тржиште у претходној години, по деривату, усаглашен са подацима из става 2. овог члана,</w:t>
      </w:r>
    </w:p>
    <w:p w:rsidR="00000000" w:rsidRDefault="002D4183">
      <w:pPr>
        <w:pStyle w:val="1tekst"/>
      </w:pPr>
      <w:r>
        <w:t>2) извештај о потрошњи деривата нафте и/или угља и/или природног гаса за месец јан</w:t>
      </w:r>
      <w:r>
        <w:t>уар, фебруар и март за последњих пет година, укључујући текућу,</w:t>
      </w:r>
    </w:p>
    <w:p w:rsidR="00000000" w:rsidRDefault="002D4183">
      <w:pPr>
        <w:pStyle w:val="1tekst"/>
      </w:pPr>
      <w:r>
        <w:t>3) утврђене количине деривата нафте и/или угља и/или других енергената које треба чувати као оперативне резерве,</w:t>
      </w:r>
    </w:p>
    <w:p w:rsidR="00000000" w:rsidRDefault="002D4183">
      <w:pPr>
        <w:pStyle w:val="1tekst"/>
      </w:pPr>
      <w:r>
        <w:t>4) локацију и друге податке о складиштима у којима би се чувале оперативне резе</w:t>
      </w:r>
      <w:r>
        <w:t>рве деривата нафте и/или угља и/или других енергената,</w:t>
      </w:r>
    </w:p>
    <w:p w:rsidR="00000000" w:rsidRDefault="002D4183">
      <w:pPr>
        <w:pStyle w:val="1tekst"/>
      </w:pPr>
      <w:r>
        <w:t>5) дневне капацитете складишта у којима би се чувале оперативне резерве деривата нафте и/или угља и/или других енергената – утовар/истовар,</w:t>
      </w:r>
    </w:p>
    <w:p w:rsidR="00000000" w:rsidRDefault="002D4183">
      <w:pPr>
        <w:pStyle w:val="1tekst"/>
      </w:pPr>
      <w:r>
        <w:t>6) друге битне податке.</w:t>
      </w:r>
    </w:p>
    <w:p w:rsidR="00000000" w:rsidRDefault="002D4183">
      <w:pPr>
        <w:pStyle w:val="1tekst"/>
      </w:pPr>
      <w:r>
        <w:t xml:space="preserve">Енергетски субјекти из члана 3. став </w:t>
      </w:r>
      <w:r>
        <w:t>3. ове уредбе који обављају делатност производње топлотне енергије из природног гаса за снабдевање крајњих купаца топлотном енергијом дужни су дa у План унесу активности које ће да предузму како би обезбедили техничко-технолошкe могућности коришћења других</w:t>
      </w:r>
      <w:r>
        <w:t xml:space="preserve"> енергената за супституцију природног гаса.</w:t>
      </w:r>
    </w:p>
    <w:p w:rsidR="00000000" w:rsidRDefault="002D4183">
      <w:pPr>
        <w:pStyle w:val="1tekst"/>
      </w:pPr>
      <w:r>
        <w:t>Количина и структура деривата нафте из става 1. овог члана исказују се у тонама, заокружено на стотину тона.</w:t>
      </w:r>
    </w:p>
    <w:p w:rsidR="00000000" w:rsidRDefault="002D4183">
      <w:pPr>
        <w:pStyle w:val="1tekst"/>
      </w:pPr>
      <w:r>
        <w:t>Обвезници формирања и чувања оперативних резерви на захтев министарства надлежног за послове енергетике</w:t>
      </w:r>
      <w:r>
        <w:t xml:space="preserve"> достављају објашњења и додатне податке у вези са Планом.</w:t>
      </w:r>
    </w:p>
    <w:p w:rsidR="00000000" w:rsidRDefault="002D4183">
      <w:pPr>
        <w:pStyle w:val="1tekst"/>
      </w:pPr>
      <w:r>
        <w:t>Обвезници формирања и чувања оперативних резерви дужни су да без одлагања обавесте министарство надлежно за послове енергетике о свакој промени Плана.</w:t>
      </w:r>
    </w:p>
    <w:p w:rsidR="00000000" w:rsidRDefault="002D4183">
      <w:pPr>
        <w:pStyle w:val="1tekst"/>
      </w:pPr>
      <w:r>
        <w:t>План потписује одговорно лице обвезника формира</w:t>
      </w:r>
      <w:r>
        <w:t>ња и чувања оперативних резерви. Под појмом одговорног лица подразумева се физичко лице које је у одговарајућем регистру уписано као законски заступник обвезника формирања и чувања оперативних резерви или физичко лице кога је законски заступник обвезника ф</w:t>
      </w:r>
      <w:r>
        <w:t>ормирања и чувања оперативних резерви својом одлуком овластио да потписује План.</w:t>
      </w:r>
    </w:p>
    <w:p w:rsidR="00000000" w:rsidRDefault="002D4183">
      <w:pPr>
        <w:pStyle w:val="1tekst"/>
      </w:pPr>
      <w:r>
        <w:t>План се уноси у обрасце који су одштампани уз ову уредбу и чине њен саставни део, и то: О-1 Подаци о обвезнику формирања и чувања оперативних резерви; О-2 Количина деривата на</w:t>
      </w:r>
      <w:r>
        <w:t>фте стављена на тржиште у претходној години; О-3 Просечна дневна потрошња енергената у јануару, фебруару и марту; О-4 План оперативних резерви деривaта нафте; О-5 План оперативних резерви енергената; О-6 Подаци о складиштима и О-7 Подаци о инвестицијама.</w:t>
      </w:r>
    </w:p>
    <w:p w:rsidR="00000000" w:rsidRDefault="002D4183">
      <w:pPr>
        <w:pStyle w:val="1tekst"/>
      </w:pPr>
      <w:r>
        <w:t>О</w:t>
      </w:r>
      <w:r>
        <w:t>бвезници формирања и чувања оперативних резерви достављају податке на обрасцима из става 9. овог члана у папирној форми и електронским путем уписом у базу енергетских података Интегрисани менаџмент информациони систем (ИМИС), почев од дана примене надограђ</w:t>
      </w:r>
      <w:r>
        <w:t>еног софтверског решења које подржава ову доставу.</w:t>
      </w:r>
    </w:p>
    <w:p w:rsidR="00000000" w:rsidRDefault="002D4183">
      <w:pPr>
        <w:pStyle w:val="4clan"/>
      </w:pPr>
      <w:r>
        <w:t>Члан 11.</w:t>
      </w:r>
    </w:p>
    <w:p w:rsidR="00000000" w:rsidRDefault="002D4183">
      <w:pPr>
        <w:pStyle w:val="1tekst"/>
      </w:pPr>
      <w:r>
        <w:t>Оперативне резерве су резерве намењене тржишту деривата нафте, угља и других енергената у својини обвезника формирања и чувања оперативних резерви, односно енергетских субјеката из члана 9. став 1</w:t>
      </w:r>
      <w:r>
        <w:t>. ове уредбе.</w:t>
      </w:r>
    </w:p>
    <w:p w:rsidR="00000000" w:rsidRDefault="002D4183">
      <w:pPr>
        <w:pStyle w:val="1tekst"/>
      </w:pPr>
      <w:r>
        <w:t>Сирова нафта из члана 7. ове уредбе у којој се заменски чувају оперативне резерве деривата нафте мора да се складишти у резервоарима рафинерије и/или резервоарима који су саставни део система за транспорт нафте нафтоводима којим се снабдева р</w:t>
      </w:r>
      <w:r>
        <w:t>афинерија.</w:t>
      </w:r>
    </w:p>
    <w:p w:rsidR="00000000" w:rsidRDefault="002D4183">
      <w:pPr>
        <w:pStyle w:val="4clan"/>
      </w:pPr>
      <w:r>
        <w:t>Члан 12.</w:t>
      </w:r>
    </w:p>
    <w:p w:rsidR="00000000" w:rsidRDefault="002D4183">
      <w:pPr>
        <w:pStyle w:val="1tekst"/>
      </w:pPr>
      <w:r>
        <w:t>Обвезници формирања и чувања оперативних резерви дужни су да:</w:t>
      </w:r>
    </w:p>
    <w:p w:rsidR="00000000" w:rsidRDefault="002D4183">
      <w:pPr>
        <w:pStyle w:val="1tekst"/>
      </w:pPr>
      <w:r>
        <w:t>1) у сваком тренутку имају на стању ускладиштену количину деривата нафте и/или угља и/или других енергената одговарајућег квалитета, сагласно члану 6. ове уредбе, осим у случ</w:t>
      </w:r>
      <w:r>
        <w:t xml:space="preserve">ају обнављања оперативних резерви, замене квалитета оперативних резерви у циљу усклађивања квалитета деривата са периодима и класама деривата према важећем пропису којим се уређује квалитет деривата нафте, о чему унапред обавештавају министарство надлежно </w:t>
      </w:r>
      <w:r>
        <w:t>за послове енергетике, као и у случајевима више силе. У случају обнављања оперативних резерви и замене квалитета оперативних резерви, обвезници формирања и чувања оперативних резерви морају имати ускладиштену најмање половину прописане количине деривата на</w:t>
      </w:r>
      <w:r>
        <w:t>фте из члана 3. ове уредбе за време замене квалитета у складу са прописом којим се уређује квалитет деривата нафте, и то најдуже 30 дана за сезону лето и 30 дана за сезону зима, односно најдуже 60 дана годишње.</w:t>
      </w:r>
    </w:p>
    <w:p w:rsidR="00000000" w:rsidRDefault="002D4183">
      <w:pPr>
        <w:pStyle w:val="1tekst"/>
      </w:pPr>
      <w:r>
        <w:t>2) воде дневну евиденцију стања резерви дерив</w:t>
      </w:r>
      <w:r>
        <w:t>ата нафте по дериватима нафте и резервоарима,</w:t>
      </w:r>
    </w:p>
    <w:p w:rsidR="00000000" w:rsidRDefault="002D4183">
      <w:pPr>
        <w:pStyle w:val="1tekst"/>
      </w:pPr>
      <w:r>
        <w:t>3) у сваком тренутку обезбеде приступ ускладиштеним оперативним резервама и ставе на увид исправе и сву потребну документацију која се односи на оперативне резерве овлашћеном инспектору, односно другом лицу овл</w:t>
      </w:r>
      <w:r>
        <w:t>ашћеном од стране министарства надлежног за послове енергетике.</w:t>
      </w:r>
    </w:p>
    <w:p w:rsidR="00000000" w:rsidRDefault="002D4183">
      <w:pPr>
        <w:pStyle w:val="1tekst"/>
      </w:pPr>
      <w:r>
        <w:t>Уколико се оперативне резерве деривата нафте чувају у сопственим складиштима, уписаним у решење којим се издаје лиценца за обављање делатности трговине нафтом, дериватима нафте, биогоривом, би</w:t>
      </w:r>
      <w:r>
        <w:t>отечностима, компримованим природним гасом, утечњеним природним гасом и водоником, обвезници формирања и чувања оперативних резерви дужни су да:</w:t>
      </w:r>
    </w:p>
    <w:p w:rsidR="00000000" w:rsidRDefault="002D4183">
      <w:pPr>
        <w:pStyle w:val="1tekst"/>
      </w:pPr>
      <w:r>
        <w:t>1) у реалном времену имају увид у стање складишта преко система за прикупљање и контролу података (у даљем текс</w:t>
      </w:r>
      <w:r>
        <w:t>ту: SCADA систем),</w:t>
      </w:r>
    </w:p>
    <w:p w:rsidR="00000000" w:rsidRDefault="002D4183">
      <w:pPr>
        <w:pStyle w:val="1tekst"/>
      </w:pPr>
      <w:r>
        <w:t>2) дозволе министарству надлежном за послове енергетике да у реалном времену прати стање складишта даљинским приступом SCADA система.</w:t>
      </w:r>
    </w:p>
    <w:p w:rsidR="00000000" w:rsidRDefault="002D4183">
      <w:pPr>
        <w:pStyle w:val="1tekst"/>
      </w:pPr>
      <w:r>
        <w:t xml:space="preserve">Енергетски субјекти који обављају делатност складиштења нафте, деривата нафте и биогорива зa обвезнике </w:t>
      </w:r>
      <w:r>
        <w:t>формирања и чувања оперативних резерви дужни су да:</w:t>
      </w:r>
    </w:p>
    <w:p w:rsidR="00000000" w:rsidRDefault="002D4183">
      <w:pPr>
        <w:pStyle w:val="1tekst"/>
      </w:pPr>
      <w:r>
        <w:t>1) у реалном времену имају увид у стање складишта преко SCADA система и да воде дневну евиденцију стања залиха деривата нафте по дериватима нафте, сировoj нафти, резервоарима и уговорним партнерима,</w:t>
      </w:r>
    </w:p>
    <w:p w:rsidR="00000000" w:rsidRDefault="002D4183">
      <w:pPr>
        <w:pStyle w:val="1tekst"/>
      </w:pPr>
      <w:r>
        <w:t xml:space="preserve">2) у </w:t>
      </w:r>
      <w:r>
        <w:t>сваком тренутку евидентирано стање складишта одговара стварном стању складишта,</w:t>
      </w:r>
    </w:p>
    <w:p w:rsidR="00000000" w:rsidRDefault="002D4183">
      <w:pPr>
        <w:pStyle w:val="1tekst"/>
      </w:pPr>
      <w:r>
        <w:t>3) у сваком тренутку омогуће приступ ускладиштеним дериватима нафте и сировoj нафти и ставе на увид исправе и сву потребну документацију која се односи на оперативне резерве ов</w:t>
      </w:r>
      <w:r>
        <w:t>лашћеном инспектору, односно другом лицу овлашћеном од стране министарства надлежног за послове енергетике,</w:t>
      </w:r>
    </w:p>
    <w:p w:rsidR="00000000" w:rsidRDefault="002D4183">
      <w:pPr>
        <w:pStyle w:val="1tekst"/>
      </w:pPr>
      <w:r>
        <w:t>4) дозволе министарству надлежном за послове енергетике да у реалном времену прати стање складишта даљинским приступом SCADA система.</w:t>
      </w:r>
    </w:p>
    <w:p w:rsidR="00000000" w:rsidRDefault="002D4183">
      <w:pPr>
        <w:pStyle w:val="1tekst"/>
      </w:pPr>
      <w:r>
        <w:t xml:space="preserve">Енергетски субјекти који обављају делатност складиштења нафте, деривата нафте и биогорива за обвезнике формирања и чувања оперативних резерви могу да у истом резервоару чувају истоврсне деривате нафте, за различите обвезнике формирања и чувања оперативних </w:t>
      </w:r>
      <w:r>
        <w:t>резерви на основу засебно закључених уговора o складиштењу.</w:t>
      </w:r>
    </w:p>
    <w:p w:rsidR="00000000" w:rsidRDefault="002D4183">
      <w:pPr>
        <w:pStyle w:val="1tekst"/>
      </w:pPr>
      <w:r>
        <w:t>Енергетски субјекти из члана 9. став 1. ове уредбе, дужни су да:</w:t>
      </w:r>
    </w:p>
    <w:p w:rsidR="00000000" w:rsidRDefault="002D4183">
      <w:pPr>
        <w:pStyle w:val="1tekst"/>
      </w:pPr>
      <w:r>
        <w:t>1) у реалном времену имају увид у стање складишта преко SCADA система и да воде дневну евиденцију стања залиха деривата нафте по де</w:t>
      </w:r>
      <w:r>
        <w:t>риватима нафте, сировoj нафти, резервоарима и уговорним партнерима,</w:t>
      </w:r>
    </w:p>
    <w:p w:rsidR="00000000" w:rsidRDefault="002D4183">
      <w:pPr>
        <w:pStyle w:val="1tekst"/>
      </w:pPr>
      <w:r>
        <w:t>2) у сваком тренутку имају на стању ускладиштену количину деривата нафте одговарајућег квалитета, односно сирове нафте сагласно закљученим уговорима сa енергетским субјектима из члана 2. о</w:t>
      </w:r>
      <w:r>
        <w:t>ве уредбе,</w:t>
      </w:r>
    </w:p>
    <w:p w:rsidR="00000000" w:rsidRDefault="002D4183">
      <w:pPr>
        <w:pStyle w:val="1tekst"/>
      </w:pPr>
      <w:r>
        <w:t>3) дозволе министарству надлежном за послове енергетике да у реалном времену прати стање складишта даљинским приступом SCADA система,</w:t>
      </w:r>
    </w:p>
    <w:p w:rsidR="00000000" w:rsidRDefault="002D4183">
      <w:pPr>
        <w:pStyle w:val="1tekst"/>
      </w:pPr>
      <w:r>
        <w:t>4) у сваком тренутку ставе на увид исправе и сву потребну документацију која се односи на оперативне резерве ов</w:t>
      </w:r>
      <w:r>
        <w:t>лашћеном инспектору, односно другом лицу овлашћеном од стране министарства надлежног за послове енергетике.</w:t>
      </w:r>
    </w:p>
    <w:p w:rsidR="00000000" w:rsidRDefault="002D4183">
      <w:pPr>
        <w:pStyle w:val="1tekst"/>
      </w:pPr>
      <w:r>
        <w:t>Енергетски субјекти из члана 9. став 1. ове уредбе могу да у истом резервоару чувају истоврсне деривате нафте за различите обвезнике формирања и чув</w:t>
      </w:r>
      <w:r>
        <w:t>ања оперативних резерви деривата нафте на основу засебно закључених уговора из члана 9. став 1. ове уредбе.</w:t>
      </w:r>
    </w:p>
    <w:p w:rsidR="00000000" w:rsidRDefault="002D4183">
      <w:pPr>
        <w:pStyle w:val="1tekst"/>
      </w:pPr>
      <w:r>
        <w:t>Појединачни подаци из става 3. тачка 2), става 4. тачка 4) и става 6. тачка 4) овог члана штите се у складу за законом којим је уређена област посло</w:t>
      </w:r>
      <w:r>
        <w:t>вне тајне.</w:t>
      </w:r>
    </w:p>
    <w:p w:rsidR="00000000" w:rsidRDefault="002D4183">
      <w:pPr>
        <w:pStyle w:val="4clan"/>
      </w:pPr>
      <w:r>
        <w:t>Члан 13.</w:t>
      </w:r>
    </w:p>
    <w:p w:rsidR="00000000" w:rsidRDefault="002D4183">
      <w:pPr>
        <w:pStyle w:val="1tekst"/>
      </w:pPr>
      <w:r>
        <w:t>Обвезници формирања и чувања оперативних резерви деривата нафте дужни су да извештавају о висини оперативних резерви, сагласно правилнику којим је уређено вођење регистра обавезних резерви нафте и деривата нафте и састављање месечних ст</w:t>
      </w:r>
      <w:r>
        <w:t>атистичких извештаја о количини, квалитету, структури и размештају обавезних и других резерви нафте и деривата нафте.</w:t>
      </w:r>
    </w:p>
    <w:p w:rsidR="00000000" w:rsidRDefault="002D4183">
      <w:pPr>
        <w:pStyle w:val="1tekst"/>
      </w:pPr>
      <w:r>
        <w:t>Енергетски субјекти из члана 3. став 2. ове уредбе који чувају оперативне резерве угља и других енергената, дужни су да до десетог дана те</w:t>
      </w:r>
      <w:r>
        <w:t>кућег месеца известе министарство надлежно за послове енергетике о количини и локацијама на којима су задњег дана претходног месеца ускладиштене оперативне резерве угља и других енергената писаним и електронским путем на електронску адресу објављену на инт</w:t>
      </w:r>
      <w:r>
        <w:t>ернет страници министарства.</w:t>
      </w:r>
    </w:p>
    <w:p w:rsidR="00000000" w:rsidRDefault="002D4183">
      <w:pPr>
        <w:pStyle w:val="1tekst"/>
      </w:pPr>
      <w:r>
        <w:t xml:space="preserve">Обвезници формирања и чувања оперативних резерви из члана 2. ове уредбе који обавезу формирања и чувања оперативних резерви испуњавају закључењем опцијског уговора, поред извештаја из става 1. овог члана, достављају до десетог </w:t>
      </w:r>
      <w:r>
        <w:t>дана текућег месеца министарству надлежном за послове енергетике и извештај акредитоване независне контролне организације са седиштем у Републици Србији о количини и квалитету оперативних резерви које се чувају у поједином складишту на основу уговора из чл</w:t>
      </w:r>
      <w:r>
        <w:t>ана 9. став 1. ове уредбе, задњег дана претходног месеца.</w:t>
      </w:r>
    </w:p>
    <w:p w:rsidR="00000000" w:rsidRDefault="002D4183">
      <w:pPr>
        <w:pStyle w:val="4clan"/>
      </w:pPr>
      <w:r>
        <w:t>Члан 14.</w:t>
      </w:r>
    </w:p>
    <w:p w:rsidR="00000000" w:rsidRDefault="002D4183">
      <w:pPr>
        <w:pStyle w:val="1tekst"/>
      </w:pPr>
      <w:r>
        <w:t xml:space="preserve">Оперативне резерве деривата нафте и/или угља и/или других енергената користе се у случају краткотрајних поремећаја на тржишту, услед хаварија и других непредвиђених ситуација због којих је </w:t>
      </w:r>
      <w:r>
        <w:t>угрожена сигурност рада појединих делова енергетског система или енергетског система у целини.</w:t>
      </w:r>
    </w:p>
    <w:p w:rsidR="00000000" w:rsidRDefault="002D4183">
      <w:pPr>
        <w:pStyle w:val="1tekst"/>
      </w:pPr>
      <w:r>
        <w:t xml:space="preserve">Иницијативу за коришћење оперативних резерви деривата нафте и/или угља и/или других енергената услед наступања конкретног случаја или ситуације из става 1. овог </w:t>
      </w:r>
      <w:r>
        <w:t>члана, могу покренути обвезници формирања и чувања оперативних резерви, као и надлежни државни органи.</w:t>
      </w:r>
    </w:p>
    <w:p w:rsidR="00000000" w:rsidRDefault="002D4183">
      <w:pPr>
        <w:pStyle w:val="1tekst"/>
      </w:pPr>
      <w:r>
        <w:t xml:space="preserve">Оперативне резерве деривата нафте и/или угља и/или других енергената користе се услед наступања конкретног случаја или ситуације из става 1. овог члана, </w:t>
      </w:r>
      <w:r>
        <w:t>на основу одобрења које даје министар надлежан за послове енергетике, у складу са актом којим се утврђује програм мера у случају када је угрожена сигурност снабдевања енергијом и енергентима.</w:t>
      </w:r>
    </w:p>
    <w:p w:rsidR="00000000" w:rsidRDefault="002D4183">
      <w:pPr>
        <w:pStyle w:val="1tekst"/>
      </w:pPr>
      <w:r>
        <w:t>У случају давања одобрења из става 3. овог члана министар надлеж</w:t>
      </w:r>
      <w:r>
        <w:t>ан за послове енергетике утврђује и разуман рок за обнављање оперативних резерви на ниво пре давања одобрења о коришћењу оперативних резерви.</w:t>
      </w:r>
    </w:p>
    <w:p w:rsidR="00000000" w:rsidRDefault="002D4183">
      <w:pPr>
        <w:pStyle w:val="4clan"/>
      </w:pPr>
      <w:r>
        <w:t>Члан 15.</w:t>
      </w:r>
    </w:p>
    <w:p w:rsidR="00000000" w:rsidRDefault="002D4183">
      <w:pPr>
        <w:pStyle w:val="1tekst"/>
      </w:pPr>
      <w:r>
        <w:t>Новчаном казном од 1.500.000 до 3.000.000 динара казниће се за привредни преступ енергетски субјект – пра</w:t>
      </w:r>
      <w:r>
        <w:t>вно лице из члана 2. ове уредбе, ако не обезбеди оперативне резерве деривата нафте и/или угља и/или других енергената у складу са чланом 3. ове уредбе.</w:t>
      </w:r>
    </w:p>
    <w:p w:rsidR="00000000" w:rsidRDefault="002D4183">
      <w:pPr>
        <w:pStyle w:val="1tekst"/>
      </w:pPr>
      <w:r>
        <w:t>Одговорно лице у енергетском субјекту – правном лицу из члана 2. ове уредбе казниће се за привредни прес</w:t>
      </w:r>
      <w:r>
        <w:t>туп из става 1. овог члана новчаном казном од 100.000 до 200.000 динара.</w:t>
      </w:r>
    </w:p>
    <w:p w:rsidR="00000000" w:rsidRDefault="002D4183">
      <w:pPr>
        <w:pStyle w:val="1tekst"/>
      </w:pPr>
      <w:r>
        <w:t>За привредни преступ из става 1. овог члана, правном лицу се може изрећи и мера забране да се бави одређеном привредном делатношћу у трајању од шест месеци до три године.</w:t>
      </w:r>
    </w:p>
    <w:p w:rsidR="00000000" w:rsidRDefault="002D4183">
      <w:pPr>
        <w:pStyle w:val="4clan"/>
      </w:pPr>
      <w:r>
        <w:t>Члан 16.</w:t>
      </w:r>
    </w:p>
    <w:p w:rsidR="00000000" w:rsidRDefault="002D4183">
      <w:pPr>
        <w:pStyle w:val="1tekst"/>
      </w:pPr>
      <w:r>
        <w:t>Нов</w:t>
      </w:r>
      <w:r>
        <w:t>чаном казном од 500.000 до 2.000.000 динара казниће се за прекршај енергетски субјект – правно лице из члана 2. ове уредбе, ако не доставља план из члана 10. ове уредбе и извештај из члана 13. ове уредбе.</w:t>
      </w:r>
    </w:p>
    <w:p w:rsidR="00000000" w:rsidRDefault="002D4183">
      <w:pPr>
        <w:pStyle w:val="1tekst"/>
      </w:pPr>
      <w:r>
        <w:t>Одговорно лице у енергетском субјекту – правном лиц</w:t>
      </w:r>
      <w:r>
        <w:t>у из члана 2. ове уредбе казниће се за прекршај из става 1. овог члана новчаном казном од 10.000 до 50.000 динара.</w:t>
      </w:r>
    </w:p>
    <w:p w:rsidR="00000000" w:rsidRDefault="002D4183">
      <w:pPr>
        <w:pStyle w:val="4clan"/>
      </w:pPr>
      <w:r>
        <w:t>Члан 17.</w:t>
      </w:r>
    </w:p>
    <w:p w:rsidR="00000000" w:rsidRDefault="002D4183">
      <w:pPr>
        <w:pStyle w:val="1tekst"/>
      </w:pPr>
      <w:r>
        <w:t>Новчаном казном од 10.000 до 500.000 динара казниће се за прекршај енергетски субјект – предузетник из члана 2. ове уредбе, ако не о</w:t>
      </w:r>
      <w:r>
        <w:t>безбеди оперативне резерве деривата нафте и/или угља и/или других енергената у складу са чланом 3. ове уредбе.</w:t>
      </w:r>
    </w:p>
    <w:p w:rsidR="00000000" w:rsidRDefault="002D4183">
      <w:pPr>
        <w:pStyle w:val="1tekst"/>
      </w:pPr>
      <w:r>
        <w:t>Новчаном казном од 10.000 до 50.000 динара казниће се за прекршај енергетски субјект – предузетник из члана 2. ове уредбе, ако не доставља план и</w:t>
      </w:r>
      <w:r>
        <w:t>з члана 10. ове уредбе и извештај из члана 13. ове уредбе.</w:t>
      </w:r>
    </w:p>
    <w:p w:rsidR="00000000" w:rsidRDefault="002D4183">
      <w:pPr>
        <w:pStyle w:val="4clan"/>
      </w:pPr>
      <w:r>
        <w:t>Члан 18.</w:t>
      </w:r>
    </w:p>
    <w:p w:rsidR="00000000" w:rsidRDefault="002D4183">
      <w:pPr>
        <w:pStyle w:val="1tekst"/>
      </w:pPr>
      <w:r>
        <w:t>Ова уредба ступа на снагу осмог дана од дана објављивања у „Службеном гласнику Републике Србије”, а примењује се од 1. јануара 2022. године.</w:t>
      </w:r>
    </w:p>
    <w:p w:rsidR="00000000" w:rsidRDefault="002D4183">
      <w:pPr>
        <w:pStyle w:val="1tekst"/>
      </w:pPr>
      <w:r>
        <w:t>05 број 110-7269/2021</w:t>
      </w:r>
    </w:p>
    <w:p w:rsidR="00000000" w:rsidRDefault="002D4183">
      <w:pPr>
        <w:pStyle w:val="1tekst"/>
      </w:pPr>
      <w:r>
        <w:t>У Београду, 5. августа 2021. године</w:t>
      </w:r>
    </w:p>
    <w:p w:rsidR="00000000" w:rsidRDefault="002D4183">
      <w:pPr>
        <w:pStyle w:val="1tekst"/>
        <w:jc w:val="center"/>
      </w:pPr>
      <w:r>
        <w:rPr>
          <w:b/>
          <w:bCs/>
        </w:rPr>
        <w:t>Влада</w:t>
      </w:r>
    </w:p>
    <w:p w:rsidR="00000000" w:rsidRDefault="002D4183">
      <w:pPr>
        <w:pStyle w:val="1tekst"/>
        <w:jc w:val="right"/>
      </w:pPr>
      <w:r>
        <w:t>Председник,</w:t>
      </w:r>
    </w:p>
    <w:p w:rsidR="00000000" w:rsidRDefault="002D4183">
      <w:pPr>
        <w:pStyle w:val="1tekst"/>
        <w:jc w:val="right"/>
      </w:pPr>
      <w:r>
        <w:rPr>
          <w:b/>
          <w:bCs/>
        </w:rPr>
        <w:t>Ана Брнабић</w:t>
      </w:r>
      <w:r>
        <w:t>, с.р.</w:t>
      </w:r>
    </w:p>
    <w:p w:rsidR="00000000" w:rsidRDefault="002D4183">
      <w:pPr>
        <w:pStyle w:val="1tekst"/>
      </w:pPr>
      <w:r>
        <w:rPr>
          <w:b/>
          <w:bCs/>
          <w:i/>
          <w:iCs/>
        </w:rPr>
        <w:t xml:space="preserve">НАПОМЕНА РЕДАКЦИЈЕ: </w:t>
      </w:r>
      <w:r>
        <w:rPr>
          <w:i/>
          <w:iCs/>
        </w:rPr>
        <w:t>Обрасце у PDF формату можете преузети кликом на следећи линк:</w:t>
      </w:r>
    </w:p>
    <w:p w:rsidR="00000000" w:rsidRDefault="002D4183">
      <w:pPr>
        <w:pStyle w:val="1tekst"/>
      </w:pPr>
      <w:hyperlink r:id="rId5" w:tgtFrame="_blank" w:history="1">
        <w:r>
          <w:rPr>
            <w:rStyle w:val="Hyperlink"/>
            <w:b/>
            <w:bCs/>
          </w:rPr>
          <w:t>О-1 Подаци о обвезнику формирања и чувања оперативних р</w:t>
        </w:r>
        <w:r>
          <w:rPr>
            <w:rStyle w:val="Hyperlink"/>
            <w:b/>
            <w:bCs/>
          </w:rPr>
          <w:t>езерви</w:t>
        </w:r>
      </w:hyperlink>
    </w:p>
    <w:p w:rsidR="00000000" w:rsidRDefault="002D4183">
      <w:pPr>
        <w:pStyle w:val="1tekst"/>
      </w:pPr>
      <w:hyperlink r:id="rId6" w:tgtFrame="_blank" w:history="1">
        <w:r>
          <w:rPr>
            <w:rStyle w:val="Hyperlink"/>
            <w:b/>
            <w:bCs/>
          </w:rPr>
          <w:t>О-2 Количина деривата нафте стављена на тржиште у претходној години</w:t>
        </w:r>
      </w:hyperlink>
    </w:p>
    <w:p w:rsidR="00000000" w:rsidRDefault="002D4183">
      <w:pPr>
        <w:pStyle w:val="1tekst"/>
      </w:pPr>
      <w:hyperlink r:id="rId7" w:tgtFrame="_blank" w:history="1">
        <w:r>
          <w:rPr>
            <w:rStyle w:val="Hyperlink"/>
            <w:b/>
            <w:bCs/>
          </w:rPr>
          <w:t>О-3 Просечна дневна потрошња енергената у јануару, фебруару и марту</w:t>
        </w:r>
      </w:hyperlink>
    </w:p>
    <w:p w:rsidR="00000000" w:rsidRDefault="002D4183">
      <w:pPr>
        <w:pStyle w:val="1tekst"/>
      </w:pPr>
      <w:hyperlink r:id="rId8" w:tgtFrame="_blank" w:history="1">
        <w:r>
          <w:rPr>
            <w:rStyle w:val="Hyperlink"/>
            <w:b/>
            <w:bCs/>
          </w:rPr>
          <w:t>О-4 План оперативних резерви деривата нафте</w:t>
        </w:r>
      </w:hyperlink>
    </w:p>
    <w:p w:rsidR="00000000" w:rsidRDefault="002D4183">
      <w:pPr>
        <w:pStyle w:val="1tekst"/>
      </w:pPr>
      <w:hyperlink r:id="rId9" w:tgtFrame="_blank" w:history="1">
        <w:r>
          <w:rPr>
            <w:rStyle w:val="Hyperlink"/>
            <w:b/>
            <w:bCs/>
          </w:rPr>
          <w:t>О-5 План оперативних резерви енергената</w:t>
        </w:r>
      </w:hyperlink>
    </w:p>
    <w:p w:rsidR="00000000" w:rsidRDefault="002D4183">
      <w:pPr>
        <w:pStyle w:val="1tekst"/>
      </w:pPr>
      <w:hyperlink r:id="rId10" w:tgtFrame="_blank" w:history="1">
        <w:r>
          <w:rPr>
            <w:rStyle w:val="Hyperlink"/>
            <w:b/>
            <w:bCs/>
          </w:rPr>
          <w:t>О-6 Подаци о складиштима</w:t>
        </w:r>
      </w:hyperlink>
    </w:p>
    <w:p w:rsidR="002D4183" w:rsidRDefault="002D4183">
      <w:pPr>
        <w:pStyle w:val="1tekst"/>
      </w:pPr>
      <w:hyperlink r:id="rId11" w:tgtFrame="_blank" w:history="1">
        <w:r>
          <w:rPr>
            <w:rStyle w:val="Hyperlink"/>
            <w:b/>
            <w:bCs/>
          </w:rPr>
          <w:t>О-7 Подаци о инвестицијама</w:t>
        </w:r>
      </w:hyperlink>
    </w:p>
    <w:sectPr w:rsidR="002D41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5136A"/>
    <w:rsid w:val="002D4183"/>
    <w:rsid w:val="0055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rFonts w:ascii="Tahoma" w:hAnsi="Tahoma" w:cs="Tahoma"/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rFonts w:ascii="Tahoma" w:hAnsi="Tahoma" w:cs="Tahoma"/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rFonts w:ascii="Tahoma" w:hAnsi="Tahoma" w:cs="Tahoma"/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rFonts w:ascii="Tahoma" w:hAnsi="Tahoma" w:cs="Tahoma"/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rFonts w:ascii="Tahoma" w:hAnsi="Tahoma" w:cs="Tahoma"/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rFonts w:ascii="Tahoma" w:hAnsi="Tahoma" w:cs="Tahoma"/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rFonts w:ascii="Tahoma" w:hAnsi="Tahoma" w:cs="Tahoma"/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rFonts w:ascii="Tahoma" w:hAnsi="Tahoma" w:cs="Tahoma"/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rFonts w:ascii="Tahoma" w:hAnsi="Tahoma" w:cs="Tahoma"/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  <w:rPr>
      <w:rFonts w:ascii="Tahoma" w:hAnsi="Tahoma" w:cs="Tahoma"/>
    </w:r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  <w:rPr>
      <w:rFonts w:ascii="Tahoma" w:hAnsi="Tahoma" w:cs="Tahoma"/>
    </w:rPr>
  </w:style>
  <w:style w:type="paragraph" w:customStyle="1" w:styleId="4clan">
    <w:name w:val="_4clan"/>
    <w:basedOn w:val="Normal"/>
    <w:pPr>
      <w:spacing w:before="240" w:after="240"/>
      <w:jc w:val="center"/>
    </w:pPr>
    <w:rPr>
      <w:rFonts w:ascii="Tahoma" w:hAnsi="Tahoma" w:cs="Tahoma"/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rFonts w:ascii="Tahoma" w:hAnsi="Tahoma" w:cs="Tahoma"/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rFonts w:ascii="Tahoma" w:hAnsi="Tahoma" w:cs="Tahoma"/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rFonts w:ascii="Tahoma" w:hAnsi="Tahoma" w:cs="Tahoma"/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rFonts w:ascii="Tahoma" w:hAnsi="Tahoma" w:cs="Tahoma"/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rFonts w:ascii="Tahoma" w:hAnsi="Tahoma" w:cs="Tahoma"/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rFonts w:ascii="Tahoma" w:hAnsi="Tahoma" w:cs="Tahoma"/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rFonts w:ascii="Tahoma" w:hAnsi="Tahoma" w:cs="Tahoma"/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Уредба о оперативним резервама деривата нафте, угља и других енергената</vt:lpstr>
    </vt:vector>
  </TitlesOfParts>
  <Company/>
  <LinksUpToDate>false</LinksUpToDate>
  <CharactersWithSpaces>23746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Уредба о оперативним резервама деривата нафте, угља и других енергената</dc:title>
  <dc:creator>Windows User</dc:creator>
  <cp:lastModifiedBy>Windows User</cp:lastModifiedBy>
  <cp:revision>2</cp:revision>
  <dcterms:created xsi:type="dcterms:W3CDTF">2021-11-05T06:33:00Z</dcterms:created>
  <dcterms:modified xsi:type="dcterms:W3CDTF">2021-11-05T06:33:00Z</dcterms:modified>
</cp:coreProperties>
</file>